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95" w:rsidRPr="00A40F95" w:rsidRDefault="00A40F95" w:rsidP="001B45F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A40F95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A40F95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A40F95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</w:t>
      </w:r>
      <w:proofErr w:type="gramStart"/>
      <w:r w:rsidRPr="00A40F95">
        <w:rPr>
          <w:rFonts w:ascii="Arial" w:hAnsi="Arial" w:cs="Arial"/>
          <w:b/>
          <w:sz w:val="20"/>
          <w:szCs w:val="20"/>
        </w:rPr>
        <w:t>Р</w:t>
      </w:r>
      <w:proofErr w:type="gramEnd"/>
      <w:r w:rsidRPr="00A40F95">
        <w:rPr>
          <w:rFonts w:ascii="Arial" w:hAnsi="Arial" w:cs="Arial"/>
          <w:b/>
          <w:sz w:val="20"/>
          <w:szCs w:val="20"/>
        </w:rPr>
        <w:t xml:space="preserve"> ДСМ-135 от 4 октября 2019 года</w:t>
      </w:r>
    </w:p>
    <w:p w:rsidR="00A40F95" w:rsidRPr="00A40F95" w:rsidRDefault="00A40F95" w:rsidP="001B45FD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A40F95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9 октября 2019 года № 19454</w:t>
      </w:r>
    </w:p>
    <w:p w:rsidR="00A40F95" w:rsidRPr="00A40F95" w:rsidRDefault="00A40F95" w:rsidP="001B45F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A40F95">
        <w:rPr>
          <w:rFonts w:ascii="Arial" w:hAnsi="Arial" w:cs="Arial"/>
          <w:b/>
          <w:sz w:val="20"/>
          <w:szCs w:val="20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 xml:space="preserve">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A40F95">
        <w:rPr>
          <w:rFonts w:ascii="Arial" w:hAnsi="Arial" w:cs="Arial"/>
          <w:b/>
          <w:sz w:val="20"/>
          <w:szCs w:val="20"/>
        </w:rPr>
        <w:t>ПРИКАЗЫВАЮ</w:t>
      </w:r>
      <w:r w:rsidRPr="00A40F95">
        <w:rPr>
          <w:rFonts w:ascii="Arial" w:hAnsi="Arial" w:cs="Arial"/>
          <w:sz w:val="20"/>
          <w:szCs w:val="20"/>
        </w:rPr>
        <w:t>: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>1. Утвердить прилагаемые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>2. Признать утратившим силу: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A40F95">
        <w:rPr>
          <w:rFonts w:ascii="Arial" w:hAnsi="Arial" w:cs="Arial"/>
          <w:sz w:val="20"/>
          <w:szCs w:val="20"/>
        </w:rPr>
        <w:t xml:space="preserve">1) </w:t>
      </w:r>
      <w:hyperlink r:id="rId6" w:anchor="z48" w:history="1">
        <w:r w:rsidRPr="00A40F95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A40F95">
        <w:rPr>
          <w:rFonts w:ascii="Arial" w:hAnsi="Arial" w:cs="Arial"/>
          <w:sz w:val="20"/>
          <w:szCs w:val="20"/>
        </w:rPr>
        <w:t xml:space="preserve"> Министра национальной экономики Республики Казахстан от 17 марта 2015 года № 215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10827, опубликован в Информационно-правовой системе "</w:t>
      </w:r>
      <w:proofErr w:type="spellStart"/>
      <w:r w:rsidRPr="00A40F95">
        <w:rPr>
          <w:rFonts w:ascii="Arial" w:hAnsi="Arial" w:cs="Arial"/>
          <w:sz w:val="20"/>
          <w:szCs w:val="20"/>
        </w:rPr>
        <w:t>Әділет</w:t>
      </w:r>
      <w:proofErr w:type="spellEnd"/>
      <w:r w:rsidRPr="00A40F95">
        <w:rPr>
          <w:rFonts w:ascii="Arial" w:hAnsi="Arial" w:cs="Arial"/>
          <w:sz w:val="20"/>
          <w:szCs w:val="20"/>
        </w:rPr>
        <w:t>" 13 мая 2015 года);</w:t>
      </w:r>
      <w:proofErr w:type="gramEnd"/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A40F95">
        <w:rPr>
          <w:rFonts w:ascii="Arial" w:hAnsi="Arial" w:cs="Arial"/>
          <w:sz w:val="20"/>
          <w:szCs w:val="20"/>
        </w:rPr>
        <w:t xml:space="preserve">2) </w:t>
      </w:r>
      <w:r w:rsidRPr="001B45FD">
        <w:rPr>
          <w:rFonts w:ascii="Arial" w:hAnsi="Arial" w:cs="Arial"/>
          <w:sz w:val="20"/>
          <w:szCs w:val="20"/>
        </w:rPr>
        <w:t>пункт 4</w:t>
      </w:r>
      <w:r w:rsidRPr="00A40F95">
        <w:rPr>
          <w:rFonts w:ascii="Arial" w:hAnsi="Arial" w:cs="Arial"/>
          <w:sz w:val="20"/>
          <w:szCs w:val="20"/>
        </w:rPr>
        <w:t xml:space="preserve">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29 августа 2016 года № 389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14308, опубликован в эталонном контрольном банке нормативных правовых актов Республики Казахстан в</w:t>
      </w:r>
      <w:proofErr w:type="gramEnd"/>
      <w:r w:rsidRPr="00A40F95">
        <w:rPr>
          <w:rFonts w:ascii="Arial" w:hAnsi="Arial" w:cs="Arial"/>
          <w:sz w:val="20"/>
          <w:szCs w:val="20"/>
        </w:rPr>
        <w:t xml:space="preserve"> электронном </w:t>
      </w:r>
      <w:proofErr w:type="gramStart"/>
      <w:r w:rsidRPr="00A40F95">
        <w:rPr>
          <w:rFonts w:ascii="Arial" w:hAnsi="Arial" w:cs="Arial"/>
          <w:sz w:val="20"/>
          <w:szCs w:val="20"/>
        </w:rPr>
        <w:t>виде</w:t>
      </w:r>
      <w:proofErr w:type="gramEnd"/>
      <w:r w:rsidRPr="00A40F95">
        <w:rPr>
          <w:rFonts w:ascii="Arial" w:hAnsi="Arial" w:cs="Arial"/>
          <w:sz w:val="20"/>
          <w:szCs w:val="20"/>
        </w:rPr>
        <w:t xml:space="preserve"> от 7 октября 2016 года).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A40F95">
        <w:rPr>
          <w:rFonts w:ascii="Arial" w:hAnsi="Arial" w:cs="Arial"/>
          <w:sz w:val="20"/>
          <w:szCs w:val="20"/>
        </w:rPr>
        <w:t>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в порядке обеспечить:</w:t>
      </w:r>
      <w:proofErr w:type="gramEnd"/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A40F95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A40F95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A40F95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A40F95" w:rsidRP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</w:t>
      </w:r>
      <w:proofErr w:type="gramStart"/>
      <w:r w:rsidRPr="00A40F95">
        <w:rPr>
          <w:rFonts w:ascii="Arial" w:hAnsi="Arial" w:cs="Arial"/>
          <w:sz w:val="20"/>
          <w:szCs w:val="20"/>
        </w:rPr>
        <w:t>на</w:t>
      </w:r>
      <w:proofErr w:type="gramEnd"/>
      <w:r w:rsidRPr="00A40F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0F95">
        <w:rPr>
          <w:rFonts w:ascii="Arial" w:hAnsi="Arial" w:cs="Arial"/>
          <w:sz w:val="20"/>
          <w:szCs w:val="20"/>
        </w:rPr>
        <w:t>курирующего</w:t>
      </w:r>
      <w:proofErr w:type="gramEnd"/>
      <w:r w:rsidRPr="00A40F95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A40F95" w:rsidRDefault="00A40F9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r w:rsidRPr="00A40F95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62EA5" w:rsidRPr="00A40F95" w:rsidRDefault="00B62EA5" w:rsidP="001B45FD">
      <w:pPr>
        <w:pStyle w:val="a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40F95" w:rsidRPr="00A40F95" w:rsidTr="00A40F9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40F95" w:rsidRPr="00A40F95" w:rsidRDefault="00A40F95" w:rsidP="001B45FD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6"/>
            <w:bookmarkEnd w:id="1"/>
            <w:r w:rsidRPr="00A40F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Министр здравоохранения Республики Казахстан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A40F95" w:rsidRPr="00A40F95" w:rsidRDefault="00A40F95" w:rsidP="001B45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7"/>
            <w:bookmarkEnd w:id="2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приказом 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октября 2019 года № Қ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ДСМ-135</w:t>
            </w:r>
          </w:p>
        </w:tc>
      </w:tr>
    </w:tbl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1. Общие положения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(далее – Санитарные правила) разработаны в соответствии с </w:t>
      </w:r>
      <w:hyperlink r:id="rId7" w:anchor="z1478" w:history="1">
        <w:r w:rsidRPr="00A4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 и устанавливают санитарно-эпидемиологические требования к организации и проведению санитарно-противоэпидемических и санитарно-профилактических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отношении больных инфекционными заболеваниями, против которых проводятся профилактические прививки.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Санитарных правилах используются следующие понятия: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вакциноассоциированный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паралитический полиомиелит (далее – ВАПП) - случай острого вялого спинального паралича с остаточными явлениями на 60-й день, возникший не ранее четвертого и не позднее тридцатого дня после приема живой оральной полиомиелитной вакцины (далее - ОПВ), при котором выделен вирус полиомиелита вакцинного происхождения;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гемофильная инфекция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антропонозное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острое инфекционное заболевание с воздушно-капельным механизмом передачи, обусловленное гемофильной палочкой типа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характеризующееся многообразием клинических проявлений, преимущественным поражением органов дыхания, центральной нервной системы и развитием гнойных очагов в различных органах;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синдром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Гийена-Барре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острая аутоиммунная воспалительная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полирадикулоневропатия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проявляющаяся вялыми парезами, нарушениями чувствительности, вегетативными расстройствами;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дифтерия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респираторная инфекция с воздушно-капельным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 и другие);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острый вялый паралич (далее - ОВП) – любой случай острого вялого паралича у ребенка до 15 лет, включая синдром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Гийена-Барре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любое паралитическое заболевание независимо от возраста при подозрении на полиомиелит;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инкубационный период – отрезок времени от момента попадания возбудителя в организм до проявления симптомов болезни;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коклюш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респираторная бактериальная инфекция с воздушно-капельным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краснуха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респираторная вирусная инфекция с воздушно-капельным механизмом передачи, характеризующаяся увеличением лимфатических узлов, особенно затылочных 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заднешейных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макулопапулезной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сыпью и умеренной интоксикацией;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9) корь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респираторная вирусная инфекция с воздушно-капельным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конъюнктивы и верхних дыхательных путей;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моновакцина – вакцина, изготовленная на основе одного вида или серологического варианта микроорганизмов;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паротит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антропонозная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респираторная вирусная инфекция с воздушно-капельным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пневмококковые инфекции – группа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антропонозных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заболеваний, обусловленных пневмококками (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Streptococcus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pneumoniae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воздушно-капельным механизмом передачи, характеризующаяся различными клиническими проявлениями, чаще поражением легких, оболочек мозга;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полиомиелит – острое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высококонтагиозное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инфекционное заболевание с фекально-оральным механизмом передачи, обусловленное поражением серого вещества спинного мозга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характеризующееся преимущественно патологией нервной системы, приводящей к необратимым параличам;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горячий случай полиомиелита или острого вялого паралича - больной с явлениями острого вялого паралича, не имеющий сведения о профилактических прививках против полиомиелита и/или не имеющий полного курса вакцинации против полиомиелита (менее 3 профилактических прививок) и/или прибывший из неблагополучных по полиомиелиту стран/территорий и/или из семьи переселенцев, мигрирующих групп населения, лицо с подозрением на полиомиелит независимо от возраста;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столбняк –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зооантропонозное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острое инфекционное заболевание с контактным механизмом передачи возбудителя, характеризующееся тяжелым течением с поражением определенных структур центральной нервной системы, проявляющееся тоническим напряжением скелетной мускулатуры 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генерализованными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судорогами;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экстренная вакцинация – проведение профилактических прививок по эпидемиологическим показаниям.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Выявление больных или подозрительных на инфекционное заболевание проводится во время амбулаторных и стационарных приемов, при медицинских осмотрах, диспансеризации.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Медицинская организация по месту выявления больного обеспечивает полноту, достоверность, и своевременность регистрации и учета случаев заболеваний (подозрений на заболевание), а также оперативное и полное информирование о них территориальных подразделений государственного органа в сфере санитарно-эпидемиологического благополучия населения.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Каждый случай инфекционных заболеваний, против которых проводятся профилактические прививки, подлежит эпидемиологическому расследованию, в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 в соответствии с подпунктом 2)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статьи 7-1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2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151 Кодекса.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При эпидемиологическом расследовании определяется круг лиц, бывших в контакте с больным по месту проживания, работы, обучения, пребывания заболевшего в течение инкубационного периода инфекционного заболевания (далее – контактные лица).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Контактные лица подвергаются клиническому осмотру на наличие симптомов и признаков заболевания и находятся под ежедневным медицинским наблюдением на срок инкубационного периода. Кроме того, уточняются их прививочный и эпидемиологический анамнез.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 случаях осложнения эпидемиологической ситуации по инфекционным заболеваниям, против которых проводятся профилактические прививки, организуется дополнительная вакцинация населения на основании соответствующего постановления главного государственного санитарного врача Республики Казахстан.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дифтерией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эпидемиологическом расследовании случаев дифтерии проводится: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круга контактных лиц с выяснением их прививочного статуса.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привитые в сроки проведения профилактических прививок в Республике Казахстан, утвержденные </w:t>
      </w:r>
      <w:hyperlink r:id="rId8" w:anchor="z1" w:history="1">
        <w:r w:rsidRPr="00A4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 и не имеющие документального подтверждения о полученных профилактических прививках, а также лица, у которых после последней профилактической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 против дифтерии прошло 10 лет и более проводится вакцинация по эпидемиологическим показаниям в течение 72 часов с момента последнего контакта с больным;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медицинское наблюдение за контактными лицами в течение 7 календарных дней с момента последнего контакта с больным. В первый день наблюдения у контактных лиц отбираются мазки из носа и зева, кожных поражений для бактериологического исследования на дифтерию и, не дожидаясь результатов бактериологического исследования, проводится профилактическое лечение антибиотиками;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после госпитализации (изоляции) больного в очаге проводится заключительная дезинфекция.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Больные дифтерией подлежат изоляции в стационаре.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Выписка больных дифтерией осуществляется после полного клинического выздоровления 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двухкратного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отрицательного результата бактериологических исследований. Больного обследуют не ранее чем через 3 дня после окончания курса приема антибиотиков, с интервалом 1-2 дня.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Вакцинация лиц, переболевших дифтерией, проводится следующим образом: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перенесенное заболевание расценивается как однократная вакцинация, дальнейшая вакцинация проводится в сроки проведения профилактических прививок в Республике Казахстан, утвержденные </w:t>
      </w:r>
      <w:hyperlink r:id="rId9" w:anchor="z1" w:history="1">
        <w:r w:rsidRPr="00A4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№ 2295</w:t>
        </w:r>
      </w:hyperlink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возраста;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лица, привитые против дифтерии полностью и переболевшие легкой формой дифтерии, не подлежат дополнительной прививке.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Очередная вакцинация проводится через 2 месяца в сроки проведения профилактических прививок в Республике Казахстан, утвержденные постановлением № 2295;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лица, привитые против дифтерии полностью и переболевшие токсической формой дифтерии, прививаются дополнительно через 6 месяцев после заболевания с учетом возраста; последующие профилактические прививки проводятся в сроки проведения профилактических прививок в Республике Казахстан, утвержденные постановлением № 2295.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исследований, при локализованной форме через 2-3 недели, при осложнениях – через 4-8 недель.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ЛОР-врача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еженедельным осмотром в течение одного месяца, далее ежемесячно 1 раз в месяц. Сроки диспансеризации определяются клинической тяжестью формы дифтерии и наличием осложнений. Лица с локализованной формой дифтерии наблюдаются в течение 6 месяцев, при наличии осложнений – один год.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С диагностической целью подлежат однократному обследованию на дифтерию больные ларингитом, тонзиллитом с патологическим налетом,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назофарингитом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обращения в медицинскую организацию.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профилактической целью подлежат однократному обследованию на дифтерию лица, вновь поступающие в детские дома, детские и взрослые психоневрологические стационары.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Выявленные носители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токсигенных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штаммов дифтерии изолируются для лечения в стационаре и повторно обследуются бактериологическим методом через 2 суток после завершения курса лечения, в целях подтверждения отсутствия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бактериовыделения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столбняком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Против столбняка проводится экстренная вакцинация. Показаниями к экстренной вакцинации столбняка являются следующие состояния: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травмы, ранения с нарушением целостности кожных покровов и слизистых;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обморожения и ожоги второй, третьей и четвертой степени;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внебольничные аборты;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роды вне медицинской организации;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рождение вне медицинской организации;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гангрена или некроз тканей любого типа;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укусы животных;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проникающие повреждения желудочно-кишечного тракта.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Экстренная вакцинация против столбняка проводится согласно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1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Для экстренной вакцинации столбняка используются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АбКДС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-содержащая вакцина, АДС-М, противостолбнячный человеческий иммуноглобулин (далее – ПСЧИ), противостолбнячная сыворотка (далее – ПСС).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Медицинские организации, оказывающие медицинскую помощь по экстренной профилактике столбняка, обеспечиваются неснижаемым запасом ПСЧИ и ПСС.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полиомиелитом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С целью повышения чувствительности эпидемиологического надзора за полиомиелитом проводится выявление и диагностика ОВП.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При выявлении больного с подозрением на полиомиелит или ОВП: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проводится эпидемиологическое расследование каждого случая по форме эпидемиологического расследования случая полиомиелита или острого вялого паралича согласно части 1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 2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присваивается идентификационный эпидемиологический номер каждому случаю заболевания на областном уровне;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проводится отбор двух проб фекалия объемом 8-10 граммов для лабораторного вирусологического исследования с интервалом 24-48 часов.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в возможно короткие сроки, но не позднее 14 дня от начала пареза или паралича и доставляются в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-лабораторию по вирусным инфекциям по диагностике полиомиелита в течение 72 часов с момента отбора второй пробы;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при подозрении на полиомиелит, в том числе ВАПП, проводится забор парных сывороток крови от больного; первую сыворотку отбирают при поступлении больного в стационар, вторую – через 2-3 недели после первой пробы;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проводится клинический осмотр контактных лиц на наличие признаков заболевания, лабораторное обследование всех детей до 5 лет в домашнем очаге и каждого пятого ребенка в организованном очаге.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активного эпидемиологического надзора за ОВП медицинскими организациями независимо от форм собственности ежемесячно к 1 числу 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следующего месяца отчетного периода в территориальные подразделения ведомства государственного органа в сфере санитарно-эпидемиологического благополучия населения представляется информация о случаях ОВП среди детей до 15 лет, обратившихся в медицинскую организацию, согласно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3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Больные с подозрением на полиомиелит или ОВП подлежат госпитализации.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В случаях регистрации горячего случая полиомиелита или ОВП проводятся санитарно-противоэпидемические и санитарно-профилактические мероприятия по полиомиелиту, утвержденные постановлением главного государственного санитарного врача Республики Казахстан.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остаточных параличей проводится осмотр больного полиомиелитом или ОВП и отбор проб фекалия для лабораторного исследования (при наличии остаточных параличей) через 60 и 90 дней от начала пареза или паралича по форме эпидемиологического расследования случая полиомиелита или острого вялого паралича согласно части 2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 2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Обследование состояния иммунитета к полиомиелиту проводится вирусологическими лабораториями подведомственных организаций ведомства государственного органа в сфере санитарно-эпидемиологического благополучия населения.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Проводится слежение за циркуляцией вируса полиомиелита вирусологическим методом путем исследования материалов из объектов окружающей среды (сточных вод) и от людей (больные ОВП, группы риска, здоровые лица).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Оценка качества эпидемиологического и лабораторного надзора за ОВП осуществляется по индикаторным показателям качества эпидемиологического и лабораторного надзора за ОВП согласно </w:t>
      </w:r>
      <w:r w:rsidRPr="001B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4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</w:p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коклюшем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Больные коклюшем,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сроком на 25 дней от начала заболевания.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коклюша,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до получения двух отрицательных результатов бактериологического исследования на коклюш.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госпитализации больные коклюшем по клиническим (с учетом критериев тяжести) и эпидемиологическим показаниям (дети из образовательных 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организаций с круглосуточным пребыванием детей, домов ребенка, организаций для детей-сирот и детей, оставшихся без попечения родителей и при наличии в окружении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возрасту детей).</w:t>
      </w:r>
      <w:proofErr w:type="gramEnd"/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В целях раннего выявления больных коклюшем и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бактерионосителей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коклюша и предупреждения распространения заболевания обеспечивается: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однократное бактериологическое обследование контактных лиц;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отстранение от работы взрослых, работающих в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оздоровления, организациях для детей-сирот и детей, оставшихся без попечения родителей, домах ребенка, санаториях для детей, детских больницах, перинатальных центрах, родильных домах (отделениях), контактировавших с больным коклюшем по месту жительства или работы, при наличии кашля с последующим допуском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после получения двух отрицательных результатов бактериологического исследования на коклюш;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отстранение от посещения объектов образования контактных с больным коклюшем детей в возрасте до 14 лет при наличии кашля, независимо от прививочного анамнеза с последующим допуском в детский коллектив после получения двух отрицательных результатов бактериологического исследования на коклюш.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Медицинское наблюдение за контактными лицами в очагах проводится в течение 14 дней с момента последнего контакта с больным.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Выписку переболевших коклюшем детей из домов ребенка, общеобразовательных организаций с круглосуточным пребыванием детей, специальных учебно-воспитательных организаций закрытого типа, организаций для детей-сирот и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осуществляют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двух отрицательных результатов бактериологического исследования на коклюш.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Переболевшие коклюшем лица прививаются в сроки проведения профилактических прививок в Республике Казахстан, утвержденные </w:t>
      </w:r>
      <w:hyperlink r:id="rId10" w:anchor="z1" w:history="1">
        <w:r w:rsidRPr="00A4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№ 2295</w:t>
        </w:r>
      </w:hyperlink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возрастом.</w:t>
      </w:r>
    </w:p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корью, краснухой, паротитом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При эпидемиологическом расследовании случаев кори, краснухи и паротита проводится: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установление прививочного статуса контактных лиц;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лабораторное исследование материала от больных корью и краснухой согласно приложению 5 к настоящим Санитарным правилам;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ежедневное медицинское наблюдение за контактными лицами с больным в течение 21 суток, с момента выявления последнего случая заболевания;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активный поиск других подозрительных случаев заболевания.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в возрасте до 30 лет, находившимся в тесном контакте с больным корью и краснухой и до 25 лет с больным паротитом, не привитым, без данных о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привитости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имеющих второй профилактической прививки против данной инфекции, проводится экстренная вакцинация моновакциной против кори, краснухи и паротита, при ее отсутствии комбинированной вакциной.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Экстренная вакцинация проводится не позднее 72 часов с момента последнего контакта с больным.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При регистрации случаев паротита в организованном коллективе проводится однократная вакцинация детей до 18 лет, привитых против этой инфекции, если прошло более 7 лет после второй прививки.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Беременные женщины, находившиеся в очагах краснухи, подлежат медицинскому наблюдению и лабораторному обследованию для определения тактики предупреждения врожденных заболеваний новорожденных.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при первом обследовании у беременной женщины выявлены специфические иммуноглобулины G (при отсутствии иммуноглобулинов M) к возбудителю краснухи в концентрациях (титрах) 25 международных единиц на миллилитр и выше, то дальнейшее медицинское наблюдение за ней не проводится.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антитела к краснухе (иммуноглобулины G и иммуноглобулины M) не обнаружены, то беременной женщине исключают контакт с больным краснухой, повторяют обследование через 2 недели, в течение которых проводят медицинское наблюдение за беременной. При отрицательном результате повторного исследования через 2 недели проводят третье серологическое обследование, продолжая медицинское наблюдение за беременной женщиной. Если и при третьем обследовании антитела не выявлены, наблюдение прекращают.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при первом обследовании у беременной женщины обнаружены специфические иммуноглобулины M к возбудителю краснухи, беременную предупреждают о наличии риска врожденной патологии плода. Через 2 недели после первого обследования проводят повторное лабораторное обследование.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подтверждении диагноза краснухи вопрос о прерывании беременности решается индивидуально.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Оценка качества эпидемиологического и лабораторного надзора за корью, краснухой и паротитом осуществляется по индикаторным показателям качества эпидемиологического и лабораторного надзора за корью, краснухой и паротитом согласно приложению 6 к настоящим Санитарным правилам.</w:t>
      </w:r>
    </w:p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6.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пневмококковой и гемофильной инфекциями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Госпитализация больного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пневмококковой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гемофильной инфекциями осуществляется по клиническим показаниям. Больные с менингитом или подозрением на менингит госпитализируются в инфекционный стационар или специализированные отделения и боксы медицинских организаций, оказывающие стационарную помощь. 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Больные с пневмонией и другими клиническими формами заболевания пневмококковой и гемофильной инфекциями госпитализируются в зависимости от тяжести заболевания.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Лица с острыми респираторными заболеваниями, отитами,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назофарингитами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гайморитами в коллективе изолируются на дому и не допускаются в детские коллективы до полного выздоровления. Взрослых, больных с указанными заболеваниями отстраняют от работы в детских коллективах до выздоровления.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В перинатальных центрах, родильных домах (отделениях)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новорожденные дети, находившиеся в контакте с больным изолируются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детских дошкольных организациях и домах ребенка в группах, включающих детей младше 5 лет, в течение десяти дней с момента изоляции больного пневмококковой или гемофильной инфекциями не проводится прием новых или временно отсутствовавших детей, а также перевод детей и персонала в другие группы.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Дезинфекционные мероприятия в очаге пневмококковой и гемофильной инфекции не проводится.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18"/>
            <w:bookmarkEnd w:id="3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Экстренная вакцинация против столбняка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125"/>
        <w:gridCol w:w="2155"/>
        <w:gridCol w:w="2177"/>
        <w:gridCol w:w="2346"/>
      </w:tblGrid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Иммунный статус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АбКДС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-содержащая вакцина, АДС-М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ПСЧИ или ПСС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Дальнейшая вакцинация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вакцинации (3 и более доз)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по истечении 10 лет и более от последней профилактической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Вводят при загрязненных ранах, обморожениях, ожогах и травмах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прошествии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и более от последней профилактической прививки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профилактические прививки в соответствии со сроками, утвержденными постановлением № 2295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вакцинация (менее 3-х доз)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Вводится, если после последней профилактической 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прививки прошел 1 месяц и более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Вводится один из препаратов в случае загрязнения раны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Получает очередную профилактическую прививку в цикле 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вакцинации и в дальнейшем завершает курс вакцинации (не менее 3-х доз) в соответствии со сроками, утвержденными постановлением № 2295 в территориальной медицинской организации. Выбор препарата зависит от возраста прививаемого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привитый или неизвестен прививочный статус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препарат против столбняка, выбираемый в зависимости от возраста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один из препаратов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последующем проводится полный курс вакцинации (не менее 3-х доз) в соответствии со сроками, утвержденными постановлением № 2295 в территориальной медицинской организации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препарата зависит от возраста прививаемого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вводится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ребенку один из препаратов, если мать не привита, частично привита или у нее неизвестный прививочный статус. Препарат не вводится, если мать привита полным курсом вакцинации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профилактических прививок в соответствии со сроками, утвержденными постановлением № 2295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привитые дети в возрасте 2 месяцев и более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Вводят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АбКДС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-содержащую вакцину в соответствии со сроками, утвержденными постановлением № 2295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один из препаратов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профилактических прививок в соответствии со сроками, утвержденными постановлением № 2295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(при внебольничных родах или абортах) в случаях, если они не привиты, или отсутствуют данные о профилактических прививках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АДС-М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один из препаратов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интервалом в 1 месяц вторая вакцинация, через 6 месяцев – ревакцинация АДС-М, в дальнейшем каждые 10 лет – однократная ревакцинация в соответствии с постановлением № 2295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АДС-М, если прошло более 1 месяца от последней прививки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в случае загрязнения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№ 2295 однократная ревакцинация АДС-М каждые 10 лет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(при внебольничных родах или абортах), которые ранее получили полный курс вакцинации (3 и более доз)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Вводят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АДС-М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прошло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по истечении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№ 2295 однократная ревакцинация АДС-М каждые 10 лет</w:t>
            </w:r>
          </w:p>
        </w:tc>
      </w:tr>
    </w:tbl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Примечания: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Экстренную вакцинацию проводят как можно раньше, но не позднее 20-го дня с момента получения травмы.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Препарат против столбняка выбирается в зависимости от возраста.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Перед каждым введением препарата необходимо тщательно ознакомиться с инструкцией, приложенной к препарату и строго ее выполнять.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Доза препарата ПСЧИ удваивается в следующих случаях: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рванные или инфицированные раны;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позднее (более 24 часов после ранения) введение ПСЧИ;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 взрослых лиц, имеющих вес значительно выше среднего.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29"/>
            <w:bookmarkEnd w:id="4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Формы эпидемиологического расследования случая полиомиелита или острого вялого паралича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547"/>
        <w:gridCol w:w="684"/>
        <w:gridCol w:w="421"/>
        <w:gridCol w:w="2972"/>
        <w:gridCol w:w="547"/>
        <w:gridCol w:w="684"/>
        <w:gridCol w:w="436"/>
      </w:tblGrid>
      <w:tr w:rsidR="00A40F95" w:rsidRPr="00A40F95" w:rsidTr="00806D9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1-часть. Немедленное расследование случая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Идентификационные данные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номер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расследования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пункта, адрес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дата рождения не известна, то укажите примерный возраст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отца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матери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Регистрация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5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случая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5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госпитализации больного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A40F95" w:rsidRPr="00A40F95" w:rsidRDefault="00A40F95" w:rsidP="001B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82"/>
        <w:gridCol w:w="491"/>
        <w:gridCol w:w="1080"/>
        <w:gridCol w:w="80"/>
        <w:gridCol w:w="566"/>
        <w:gridCol w:w="379"/>
        <w:gridCol w:w="80"/>
        <w:gridCol w:w="1323"/>
        <w:gridCol w:w="490"/>
        <w:gridCol w:w="610"/>
        <w:gridCol w:w="80"/>
        <w:gridCol w:w="888"/>
        <w:gridCol w:w="610"/>
        <w:gridCol w:w="1094"/>
      </w:tblGrid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2867" w:type="dxa"/>
            <w:gridSpan w:val="7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болезни 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диагноз</w:t>
            </w:r>
          </w:p>
        </w:tc>
        <w:tc>
          <w:tcPr>
            <w:tcW w:w="2867" w:type="dxa"/>
            <w:gridSpan w:val="7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Обращался ли за медицинской помощью больной по поводу данного заболевания в другие медицинские организации (отметить)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больной обращался, то указать наименование медицинской организации и дату обращения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История болезни и симптомы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паралича (пареза)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больной умер, то указать дату смерти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больного в анамнезе параличи, судороги или другие неврологические расстройства – мышечная гипотония, то укажите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</w:t>
            </w:r>
          </w:p>
        </w:tc>
        <w:tc>
          <w:tcPr>
            <w:tcW w:w="5370" w:type="dxa"/>
            <w:gridSpan w:val="11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паралич вялый (быстропрогрессирующий) 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11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вялый (атонический)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паралич не острый и не вялый, то прекратите расследование. Укажите диагноз: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паралич острый и вялый, то продолжайте расследование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ли повышение температуры тела в начале заболевания (паралича)?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асимметричный?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дней прошло от начала заболевания до полного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разития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паралича?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паралича: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нога</w:t>
            </w:r>
          </w:p>
        </w:tc>
        <w:tc>
          <w:tcPr>
            <w:tcW w:w="191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мускулатура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нога</w:t>
            </w:r>
          </w:p>
        </w:tc>
        <w:tc>
          <w:tcPr>
            <w:tcW w:w="191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шеи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</w:t>
            </w:r>
          </w:p>
        </w:tc>
        <w:tc>
          <w:tcPr>
            <w:tcW w:w="191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лица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</w:t>
            </w:r>
          </w:p>
        </w:tc>
        <w:tc>
          <w:tcPr>
            <w:tcW w:w="191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(укажите)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рук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дистальный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ног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проксимальный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дистальный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чувствительности функции нерва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Выезжал ли больной в другие населенные пункты (страны) в течение 28 дней до заболевания?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выезжал, то укажите </w:t>
            </w:r>
          </w:p>
        </w:tc>
        <w:tc>
          <w:tcPr>
            <w:tcW w:w="191" w:type="dxa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(страна, населенный пункт)</w:t>
            </w:r>
          </w:p>
        </w:tc>
        <w:tc>
          <w:tcPr>
            <w:tcW w:w="7947" w:type="dxa"/>
            <w:gridSpan w:val="14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ли другие случаи параличей в окружении больного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60 дней?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Прививочный анамнез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доз оральной полиомиелитной вакцины (ОПВ), полученных в ходе иммунизации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прививки ОПВ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Сбор образцов фекалия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взятия первого образца фекалия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взятия второго образца фекалия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отправки образцов фекалия в вирусологическую лабораторию 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проводившие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эпидемиологиологическое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расследование: 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эпидемиолога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клинициста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2-часть. Оценка состояния больного через 60 (90) дней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номер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расследования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больного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пункт, адрес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дата рождения неизвестна, то укажите примерный возраст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ли осмотр через 60 (90) дней?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9"/>
            <w:vMerge w:val="restart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укажите причину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выбыл из-под наблюдения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умер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укажите наличие параличей (парезов)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медицинской организации, где проведена оценка состояния больного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проводившие оценку: 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клинициста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эпидемиолога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95" w:rsidRPr="00A40F95" w:rsidRDefault="00A40F95" w:rsidP="001B45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31"/>
            <w:bookmarkEnd w:id="5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случаях острых вялых параличей среди детей до 15 лет, обратившихся в медицинскую организацию за ______________20____года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5"/>
        <w:gridCol w:w="1999"/>
        <w:gridCol w:w="2101"/>
      </w:tblGrid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вялые параличи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МКБ Х пересмотра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лабораторно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полинейропатия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(синдром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G61.0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Энцефалит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постиммунизационный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G04.0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Энцефалит, вызванный неуточненной причиной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G04.9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паралитические синдромы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Мононеврит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Мононеврит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 конечностей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G82.0, G82.2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периферического нерва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тазового пояса и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95" w:rsidRPr="00A40F95" w:rsidRDefault="00A40F95" w:rsidP="001B45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806D9E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6D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34"/>
            <w:bookmarkEnd w:id="6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Индикаторные показатели качества эпидемиологического и лабораторного надзора за острыми вялыми параличами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905"/>
        <w:gridCol w:w="1813"/>
      </w:tblGrid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Индикаторный показатель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Выявляемость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острого вялого паралича (ОВП) у детей в возрасте до 15 лет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2,0 на 100 тысяч детей до 15 лет 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случаев ОВП, расследованных в течение 7 дней от начала заболевания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случаев ОВП, у которых собраны 2 образца фекалий в течение 14 дней от начала заболевания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выявленных больных с ОВП, осмотренных через 60 дней с целью определения наличия остаточных параличей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проб фекалия, поступивших в вирусологическую лабораторию, в течение 3 дней со дня забора материала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проб фекалия, поступивших в вирусологическую лабораторию с соблюдением требований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при хранении и транспортировке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образцов материала от больного, прошедших полное исследование в срок не менее 28 дней со дня поступления в лабораторию до получения результатов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проб фекалия, от которых выделены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неполиомиелитные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вирусы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обследования контактных детей до 5 лет и каждого 5-го ребенка, если заболевший посещал организованный коллектив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полнота ежемесячной отчетности о случаях ОВП, форм эпидемиологического расследования случая полиомиелита и ОВП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40F95" w:rsidRPr="00A40F95" w:rsidRDefault="00A40F95" w:rsidP="001B45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36"/>
            <w:bookmarkEnd w:id="7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Лабораторное обследование материала от больных на корь и краснуху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обеспечения эффективности эпидемиологического надзора за корью и краснухой лабораторное обследование больных проводится с учетом текущей эпидемиологической ситуации по заболеваемости корью и краснухой.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При регистрации высокого уровня заболеваемости корью и краснухой лабораторное исследование образцов в первую очередь проводится на корь. В случае отрицательного результата исследования на корь, проводится исследование на краснуху.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При регистрации высокого уровня заболеваемости краснухой и низкого уровня заболеваемости корью сначала лабораторное исследование проводится на краснуху. В случае отрицательного результата обследования на краснуху проводится исследование на корь.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 отсутствии регистрации случаев заболевания корью и краснухой и низком уровне заболеваемости корью и краснухой проводится одновременное исследование на корь и краснуху.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 целью обеспечения качества отобранных образцов и достоверность результатов исследований на корь и краснуху: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сыворотки крови от больных забираются в сроки с 4 по 28 день с момента появления сыпи. В случае получения отрицательных результатов при исследовании образца, взятого в срок до 4-го дня появления сыпи, проводится повторное взятие образца в период с 4 по 28 день с момента появления сыпи для проведения повторного исследования на антитела иммуноглобулину М, а также для определения нарастания уровней антител к иммуноглобулину G;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образцы носоглоточного отделяемого, мочи и цельной крови забираются в течение первых 3 дней с момента появления сыпи и до отправки хранятся и транспортируются при температуре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proofErr w:type="gram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до плюс 8</w:t>
      </w:r>
      <w:r w:rsidRPr="00A40F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в течение 24 часов от момента забора; если доставка крови в течение 24 часов невозможна, то цельную кровь </w:t>
      </w:r>
      <w:proofErr w:type="spellStart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отцентрифугируют</w:t>
      </w:r>
      <w:proofErr w:type="spellEnd"/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переносят сыворотку в другую стерильную пробирку с завинчивающейся крышкой, пробирку снабжают соответствующей этикеткой для транспортировки в лабораторию;</w:t>
      </w:r>
    </w:p>
    <w:p w:rsidR="00A40F95" w:rsidRPr="00A40F95" w:rsidRDefault="00A40F95" w:rsidP="001B4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стерильная сыворотка может храниться на льду в течение 48 часов или в холодильнике - не более 7 дней.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40F95" w:rsidRPr="00A40F95" w:rsidTr="00A40F9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40F95" w:rsidRPr="00A40F95" w:rsidRDefault="00A40F95" w:rsidP="001B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40F95" w:rsidRPr="00A40F95" w:rsidRDefault="00A40F95" w:rsidP="0080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46"/>
            <w:bookmarkEnd w:id="8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санитарным правилам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организации и проведению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санитарно-противоэпидемических и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санитарно-профилактических мероприятий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больных инфекционными заболеваниями,</w:t>
            </w: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 которых проводятся профилактические прививки"</w:t>
            </w:r>
          </w:p>
        </w:tc>
      </w:tr>
    </w:tbl>
    <w:p w:rsidR="00A40F95" w:rsidRPr="00A40F95" w:rsidRDefault="00A40F95" w:rsidP="00806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Индикаторные показатели качества эпидемиологического и лабораторного надзора за корью, краснухой и паротитом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5829"/>
        <w:gridCol w:w="2895"/>
      </w:tblGrid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Индикаторный показатель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80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выявляемости</w:t>
            </w:r>
            <w:proofErr w:type="spell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 заболевания кори и краснухи с адекватными клиническими образцами, взятыми для лабораторного исследования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случаев на 100 тысяч населения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лабораторно подтвержденных случаев кори, краснухи и паротита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забора образцов для лабораторных исследований на корь и краснуху с 4 по 28 день с момента появления сыпи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установления цепочек кори или краснухи с данными о генотипе вируса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90 % случаев, исследованных на генотип вируса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кори, краснухи и паротита, расследованных </w:t>
            </w:r>
            <w:proofErr w:type="gramStart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часов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случаев синдрома врожденной краснухи (далее – СВК), зарегистрированных в течение 48 часов со дня заболевания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</w:t>
            </w:r>
          </w:p>
        </w:tc>
      </w:tr>
      <w:tr w:rsidR="00A40F95" w:rsidRPr="00A40F95" w:rsidTr="00806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случаев СВК с адекватными образцами, собранными в течение 3 дней со дня регистрации </w:t>
            </w:r>
          </w:p>
        </w:tc>
        <w:tc>
          <w:tcPr>
            <w:tcW w:w="0" w:type="auto"/>
            <w:vAlign w:val="center"/>
            <w:hideMark/>
          </w:tcPr>
          <w:p w:rsidR="00A40F95" w:rsidRPr="00A40F95" w:rsidRDefault="00A40F95" w:rsidP="001B4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</w:t>
            </w:r>
          </w:p>
        </w:tc>
      </w:tr>
    </w:tbl>
    <w:p w:rsidR="001B45FD" w:rsidRDefault="001B45FD" w:rsidP="001B45FD">
      <w:pPr>
        <w:jc w:val="both"/>
      </w:pPr>
    </w:p>
    <w:sectPr w:rsidR="001B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2DBE"/>
    <w:multiLevelType w:val="multilevel"/>
    <w:tmpl w:val="069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95"/>
    <w:rsid w:val="001979EC"/>
    <w:rsid w:val="001B45FD"/>
    <w:rsid w:val="00806D9E"/>
    <w:rsid w:val="00827C86"/>
    <w:rsid w:val="00A40F95"/>
    <w:rsid w:val="00B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0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0F95"/>
    <w:rPr>
      <w:color w:val="0000FF"/>
      <w:u w:val="single"/>
    </w:rPr>
  </w:style>
  <w:style w:type="paragraph" w:styleId="a5">
    <w:name w:val="No Spacing"/>
    <w:uiPriority w:val="1"/>
    <w:qFormat/>
    <w:rsid w:val="00A40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0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0F95"/>
    <w:rPr>
      <w:color w:val="0000FF"/>
      <w:u w:val="single"/>
    </w:rPr>
  </w:style>
  <w:style w:type="paragraph" w:styleId="a5">
    <w:name w:val="No Spacing"/>
    <w:uiPriority w:val="1"/>
    <w:qFormat/>
    <w:rsid w:val="00A40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2295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090000193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082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P09000229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229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2019-10-18T04:28:00Z</dcterms:created>
  <dcterms:modified xsi:type="dcterms:W3CDTF">2019-10-18T04:45:00Z</dcterms:modified>
</cp:coreProperties>
</file>