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3385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26 июня 2024 года № 31 </w:t>
      </w:r>
      <w:r>
        <w:rPr>
          <w:rStyle w:val="s1"/>
        </w:rPr>
        <w:br/>
        <w:t xml:space="preserve">О внесении изменений в приказ Министра здравоохранения Республики Казахстан от 22 октября 2020 года № ҚР ДСМ-147/2020 «Об утверждении правил определения случаев (событий) </w:t>
      </w:r>
      <w:r>
        <w:rPr>
          <w:rStyle w:val="s1"/>
        </w:rPr>
        <w:t>медицинского инцидента, их учета и анализа»</w:t>
      </w:r>
    </w:p>
    <w:p w:rsidR="00000000" w:rsidRDefault="00A63385">
      <w:pPr>
        <w:pStyle w:val="p"/>
      </w:pPr>
      <w:r>
        <w:t> </w:t>
      </w:r>
    </w:p>
    <w:p w:rsidR="00000000" w:rsidRDefault="00A63385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6338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 (зарегистрирован в Реестре государственной регистрации нормативных прав</w:t>
      </w:r>
      <w:r>
        <w:rPr>
          <w:rStyle w:val="s0"/>
        </w:rPr>
        <w:t>овых актов под № 21511) следующие изменения:</w:t>
      </w:r>
    </w:p>
    <w:p w:rsidR="00000000" w:rsidRDefault="00A63385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A63385">
      <w:pPr>
        <w:pStyle w:val="pj"/>
      </w:pPr>
      <w:r>
        <w:rPr>
          <w:rStyle w:val="s0"/>
        </w:rPr>
        <w:t xml:space="preserve">«В соответствии с подпунктом 11)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A63385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случаев (событий) медицинского инцидента, их учета и анализа,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A63385">
      <w:pPr>
        <w:pStyle w:val="pj"/>
      </w:pPr>
      <w:r>
        <w:rPr>
          <w:rStyle w:val="s0"/>
        </w:rPr>
        <w:t>2. К</w:t>
      </w:r>
      <w:r>
        <w:rPr>
          <w:rStyle w:val="s0"/>
        </w:rPr>
        <w:t>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63385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6338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63385">
      <w:pPr>
        <w:pStyle w:val="pj"/>
      </w:pPr>
      <w:r>
        <w:rPr>
          <w:rStyle w:val="s0"/>
        </w:rPr>
        <w:t>3) в течение десяти рабочих дней пос</w:t>
      </w:r>
      <w:r>
        <w:rPr>
          <w:rStyle w:val="s0"/>
        </w:rPr>
        <w:t>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63385">
      <w:pPr>
        <w:pStyle w:val="pj"/>
      </w:pPr>
      <w:r>
        <w:rPr>
          <w:rStyle w:val="s0"/>
        </w:rPr>
        <w:t>3. Контроль за исполнение</w:t>
      </w:r>
      <w:r>
        <w:rPr>
          <w:rStyle w:val="s0"/>
        </w:rPr>
        <w:t>м настоящего приказа возложить на курирующего вице-министра здравоохранения Республики Казахстан.</w:t>
      </w:r>
    </w:p>
    <w:p w:rsidR="00000000" w:rsidRDefault="00A63385">
      <w:pPr>
        <w:pStyle w:val="pj"/>
      </w:pPr>
      <w:r>
        <w:rPr>
          <w:rStyle w:val="s0"/>
        </w:rPr>
        <w:t xml:space="preserve">4. Настоящий приказ вводится в действие с 23 октября 2024 года и подлежит официальному </w:t>
      </w:r>
      <w:hyperlink r:id="rId10" w:history="1">
        <w:r>
          <w:rPr>
            <w:rStyle w:val="a4"/>
          </w:rPr>
          <w:t>опубли</w:t>
        </w:r>
        <w:r>
          <w:rPr>
            <w:rStyle w:val="a4"/>
          </w:rPr>
          <w:t>кованию</w:t>
        </w:r>
      </w:hyperlink>
      <w:r>
        <w:rPr>
          <w:rStyle w:val="s0"/>
        </w:rPr>
        <w:t>.</w:t>
      </w:r>
    </w:p>
    <w:p w:rsidR="00000000" w:rsidRDefault="00A63385">
      <w:pPr>
        <w:pStyle w:val="pj"/>
      </w:pPr>
      <w:r>
        <w:rPr>
          <w:rStyle w:val="s0"/>
        </w:rPr>
        <w:t> </w:t>
      </w:r>
    </w:p>
    <w:p w:rsidR="00000000" w:rsidRDefault="00A6338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3385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A6338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A6338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3385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A6338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63385">
            <w:pPr>
              <w:pStyle w:val="pr"/>
            </w:pPr>
            <w:r>
              <w:rPr>
                <w:rStyle w:val="s0"/>
                <w:b/>
                <w:bCs/>
              </w:rPr>
              <w:t>Е. Оспанов</w:t>
            </w:r>
          </w:p>
        </w:tc>
      </w:tr>
    </w:tbl>
    <w:p w:rsidR="00000000" w:rsidRDefault="00A63385">
      <w:pPr>
        <w:pStyle w:val="pj"/>
      </w:pPr>
      <w:r>
        <w:rPr>
          <w:rStyle w:val="s0"/>
        </w:rPr>
        <w:t> </w:t>
      </w:r>
    </w:p>
    <w:p w:rsidR="00000000" w:rsidRDefault="00A63385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63385">
      <w:pPr>
        <w:pStyle w:val="pr"/>
      </w:pPr>
      <w:r>
        <w:rPr>
          <w:rStyle w:val="s0"/>
        </w:rPr>
        <w:t>Исполняющий обязанности</w:t>
      </w:r>
    </w:p>
    <w:p w:rsidR="00000000" w:rsidRDefault="00A63385">
      <w:pPr>
        <w:pStyle w:val="pr"/>
      </w:pPr>
      <w:r>
        <w:rPr>
          <w:rStyle w:val="s0"/>
        </w:rPr>
        <w:t>Министрат здравоохранения</w:t>
      </w:r>
    </w:p>
    <w:p w:rsidR="00000000" w:rsidRDefault="00A63385">
      <w:pPr>
        <w:pStyle w:val="pr"/>
      </w:pPr>
      <w:r>
        <w:rPr>
          <w:rStyle w:val="s0"/>
        </w:rPr>
        <w:t>Республики Казахстан</w:t>
      </w:r>
    </w:p>
    <w:p w:rsidR="00000000" w:rsidRDefault="00A63385">
      <w:pPr>
        <w:pStyle w:val="pr"/>
      </w:pPr>
      <w:r>
        <w:rPr>
          <w:rStyle w:val="s0"/>
        </w:rPr>
        <w:t>от 26 июня 2024 года</w:t>
      </w:r>
    </w:p>
    <w:p w:rsidR="00000000" w:rsidRDefault="00A63385">
      <w:pPr>
        <w:pStyle w:val="pr"/>
      </w:pPr>
      <w:r>
        <w:rPr>
          <w:rStyle w:val="s0"/>
        </w:rPr>
        <w:t>№ 31</w:t>
      </w:r>
    </w:p>
    <w:p w:rsidR="00000000" w:rsidRDefault="00A63385">
      <w:pPr>
        <w:pStyle w:val="pr"/>
      </w:pPr>
      <w:r>
        <w:rPr>
          <w:rStyle w:val="s0"/>
        </w:rPr>
        <w:t> </w:t>
      </w:r>
    </w:p>
    <w:p w:rsidR="00000000" w:rsidRDefault="00A63385">
      <w:pPr>
        <w:pStyle w:val="pr"/>
      </w:pPr>
      <w:r>
        <w:rPr>
          <w:rStyle w:val="s0"/>
        </w:rPr>
        <w:t>Утвержден приказом</w:t>
      </w:r>
    </w:p>
    <w:p w:rsidR="00000000" w:rsidRDefault="00A63385">
      <w:pPr>
        <w:pStyle w:val="pr"/>
      </w:pPr>
      <w:r>
        <w:rPr>
          <w:rStyle w:val="s0"/>
        </w:rPr>
        <w:t>Министра здравоохранения</w:t>
      </w:r>
    </w:p>
    <w:p w:rsidR="00000000" w:rsidRDefault="00A63385">
      <w:pPr>
        <w:pStyle w:val="pr"/>
      </w:pPr>
      <w:r>
        <w:rPr>
          <w:rStyle w:val="s0"/>
        </w:rPr>
        <w:t>Республики Казахстан</w:t>
      </w:r>
    </w:p>
    <w:p w:rsidR="00000000" w:rsidRDefault="00A63385">
      <w:pPr>
        <w:pStyle w:val="pr"/>
      </w:pPr>
      <w:r>
        <w:rPr>
          <w:rStyle w:val="s0"/>
        </w:rPr>
        <w:t>от 22 октября 2020 года</w:t>
      </w:r>
    </w:p>
    <w:p w:rsidR="00000000" w:rsidRDefault="00A63385">
      <w:pPr>
        <w:pStyle w:val="pr"/>
      </w:pPr>
      <w:r>
        <w:rPr>
          <w:rStyle w:val="s0"/>
        </w:rPr>
        <w:t>№ ҚР ДСМ-147/2020</w:t>
      </w:r>
    </w:p>
    <w:p w:rsidR="00000000" w:rsidRDefault="00A63385">
      <w:pPr>
        <w:pStyle w:val="pr"/>
      </w:pPr>
      <w:r>
        <w:rPr>
          <w:rStyle w:val="s0"/>
        </w:rPr>
        <w:t> </w:t>
      </w:r>
    </w:p>
    <w:p w:rsidR="00000000" w:rsidRDefault="00A63385">
      <w:pPr>
        <w:pStyle w:val="pr"/>
      </w:pPr>
      <w:r>
        <w:rPr>
          <w:rStyle w:val="s0"/>
        </w:rPr>
        <w:t> </w:t>
      </w:r>
    </w:p>
    <w:p w:rsidR="00000000" w:rsidRDefault="00A63385">
      <w:pPr>
        <w:pStyle w:val="pc"/>
        <w:spacing w:after="240"/>
      </w:pPr>
      <w:r>
        <w:rPr>
          <w:rStyle w:val="s1"/>
        </w:rPr>
        <w:t>Правила определения случаев (событий) медицинского инцидента, их учета и анализа</w:t>
      </w:r>
    </w:p>
    <w:p w:rsidR="00000000" w:rsidRDefault="00A63385">
      <w:pPr>
        <w:pStyle w:val="pc"/>
      </w:pPr>
      <w:r>
        <w:rPr>
          <w:rStyle w:val="s1"/>
        </w:rPr>
        <w:t> </w:t>
      </w:r>
    </w:p>
    <w:p w:rsidR="00000000" w:rsidRDefault="00A63385">
      <w:pPr>
        <w:pStyle w:val="pc"/>
      </w:pPr>
      <w:r>
        <w:rPr>
          <w:rStyle w:val="s1"/>
        </w:rPr>
        <w:t>Глава 1. Общее положение</w:t>
      </w:r>
    </w:p>
    <w:p w:rsidR="00000000" w:rsidRDefault="00A63385">
      <w:pPr>
        <w:pStyle w:val="pc"/>
      </w:pPr>
      <w:r>
        <w:rPr>
          <w:rStyle w:val="s1"/>
        </w:rPr>
        <w:t> </w:t>
      </w:r>
    </w:p>
    <w:p w:rsidR="00000000" w:rsidRDefault="00A63385">
      <w:pPr>
        <w:pStyle w:val="pj"/>
      </w:pPr>
      <w:r>
        <w:rPr>
          <w:rStyle w:val="s0"/>
        </w:rPr>
        <w:t>1. Настоящие правила определения сл</w:t>
      </w:r>
      <w:r>
        <w:rPr>
          <w:rStyle w:val="s0"/>
        </w:rPr>
        <w:t>учаев (событий) медицинского инцидента, их учета и анализа (далее - Правила) разработаны в соответствии с подпунктом 11) статьи 7 Кодекса Республики Казахстан «О здоровье народа и системе здравоохранения» (далее - Кодекс) и определяют порядок определения с</w:t>
      </w:r>
      <w:r>
        <w:rPr>
          <w:rStyle w:val="s0"/>
        </w:rPr>
        <w:t>лучаев (событий) медицинского инцидента, их учета и анализа.</w:t>
      </w:r>
    </w:p>
    <w:p w:rsidR="00000000" w:rsidRDefault="00A63385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A63385">
      <w:pPr>
        <w:pStyle w:val="pj"/>
      </w:pPr>
      <w:r>
        <w:rPr>
          <w:rStyle w:val="s0"/>
        </w:rPr>
        <w:t>1) стандарт в области здравоохранения (далее - стандарт) - нормативный правовой акт, устанавливающий правила, общие принципы и хар</w:t>
      </w:r>
      <w:r>
        <w:rPr>
          <w:rStyle w:val="s0"/>
        </w:rPr>
        <w:t>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p w:rsidR="00000000" w:rsidRDefault="00A63385">
      <w:pPr>
        <w:pStyle w:val="pj"/>
      </w:pPr>
      <w:r>
        <w:rPr>
          <w:rStyle w:val="s0"/>
        </w:rPr>
        <w:t>2) уполномоченный орган в области здравоох</w:t>
      </w:r>
      <w:r>
        <w:rPr>
          <w:rStyle w:val="s0"/>
        </w:rPr>
        <w:t>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</w:t>
      </w:r>
      <w:r>
        <w:rPr>
          <w:rStyle w:val="s0"/>
        </w:rPr>
        <w:t xml:space="preserve">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A63385">
      <w:pPr>
        <w:pStyle w:val="pj"/>
      </w:pPr>
      <w:r>
        <w:rPr>
          <w:rStyle w:val="s0"/>
        </w:rPr>
        <w:t>3) организация здравоохранения - юридическое лицо, осуществляющее деятельность в области здравоохранения;</w:t>
      </w:r>
    </w:p>
    <w:p w:rsidR="00000000" w:rsidRDefault="00A63385">
      <w:pPr>
        <w:pStyle w:val="pj"/>
      </w:pPr>
      <w:r>
        <w:rPr>
          <w:rStyle w:val="s0"/>
        </w:rPr>
        <w:t>4) медицинские услуги - действия субъектов здравоохранения, имеющие профилактическую, диагностическую, лечебную, реабилитационную и паллиативную напра</w:t>
      </w:r>
      <w:r>
        <w:rPr>
          <w:rStyle w:val="s0"/>
        </w:rPr>
        <w:t>вленность по отношению к конкретному человеку;</w:t>
      </w:r>
    </w:p>
    <w:p w:rsidR="00000000" w:rsidRDefault="00A63385">
      <w:pPr>
        <w:pStyle w:val="pj"/>
      </w:pPr>
      <w:r>
        <w:rPr>
          <w:rStyle w:val="s0"/>
        </w:rPr>
        <w:t>5) медицинский инцидент -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</w:t>
      </w:r>
      <w:r>
        <w:rPr>
          <w:rStyle w:val="s0"/>
        </w:rPr>
        <w:t>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</w:t>
      </w:r>
      <w:r>
        <w:rPr>
          <w:rStyle w:val="s0"/>
        </w:rPr>
        <w:t>захстан;</w:t>
      </w:r>
    </w:p>
    <w:p w:rsidR="00000000" w:rsidRDefault="00A63385">
      <w:pPr>
        <w:pStyle w:val="pj"/>
      </w:pPr>
      <w:r>
        <w:rPr>
          <w:rStyle w:val="s0"/>
        </w:rPr>
        <w:t>6) служба поддержки пациента и внутренней экспертизы (далее - Служба) - структурное подразделение медицинской организации, осуществляющее деятельность по управлению качеством медицинских услуг.</w:t>
      </w:r>
    </w:p>
    <w:p w:rsidR="00000000" w:rsidRDefault="00A63385">
      <w:pPr>
        <w:pStyle w:val="pc"/>
      </w:pPr>
      <w:r>
        <w:rPr>
          <w:rStyle w:val="s1"/>
        </w:rPr>
        <w:t> </w:t>
      </w:r>
    </w:p>
    <w:p w:rsidR="00000000" w:rsidRDefault="00A63385">
      <w:pPr>
        <w:pStyle w:val="pc"/>
      </w:pPr>
      <w:r>
        <w:rPr>
          <w:rStyle w:val="s1"/>
        </w:rPr>
        <w:t> </w:t>
      </w:r>
    </w:p>
    <w:p w:rsidR="00000000" w:rsidRDefault="00A63385">
      <w:pPr>
        <w:pStyle w:val="pc"/>
      </w:pPr>
      <w:r>
        <w:rPr>
          <w:rStyle w:val="s1"/>
        </w:rPr>
        <w:t>Глава 2. Порядок определения случаев (событий) ме</w:t>
      </w:r>
      <w:r>
        <w:rPr>
          <w:rStyle w:val="s1"/>
        </w:rPr>
        <w:t>дицинского инцидента, их учета и анализа</w:t>
      </w:r>
    </w:p>
    <w:p w:rsidR="00000000" w:rsidRDefault="00A63385">
      <w:pPr>
        <w:pStyle w:val="pc"/>
      </w:pPr>
      <w:r>
        <w:rPr>
          <w:rStyle w:val="s1"/>
        </w:rPr>
        <w:t> </w:t>
      </w:r>
    </w:p>
    <w:p w:rsidR="00000000" w:rsidRDefault="00A63385">
      <w:pPr>
        <w:pStyle w:val="pj"/>
      </w:pPr>
      <w:r>
        <w:rPr>
          <w:rStyle w:val="s0"/>
        </w:rPr>
        <w:t>3. К медицинским инцидентам при оказании медицинской помощи относятся:</w:t>
      </w:r>
    </w:p>
    <w:p w:rsidR="00000000" w:rsidRDefault="00A63385">
      <w:pPr>
        <w:pStyle w:val="pj"/>
      </w:pPr>
      <w:r>
        <w:rPr>
          <w:rStyle w:val="s0"/>
        </w:rPr>
        <w:t>анафилактический шок, обусловленный патологической реакцией на адекватно назначенное и правильно примененное лекарственное средство (Т88.6);</w:t>
      </w:r>
    </w:p>
    <w:p w:rsidR="00000000" w:rsidRDefault="00A63385">
      <w:pPr>
        <w:pStyle w:val="pj"/>
      </w:pPr>
      <w:r>
        <w:rPr>
          <w:rStyle w:val="s0"/>
        </w:rPr>
        <w:t>а</w:t>
      </w:r>
      <w:r>
        <w:rPr>
          <w:rStyle w:val="s0"/>
        </w:rPr>
        <w:t>ллергическая реакция на адекватно назначенное и правильно введенное лекарственное средство (Т88.7);</w:t>
      </w:r>
    </w:p>
    <w:p w:rsidR="00000000" w:rsidRDefault="00A63385">
      <w:pPr>
        <w:pStyle w:val="pj"/>
      </w:pPr>
      <w:r>
        <w:rPr>
          <w:rStyle w:val="s0"/>
        </w:rPr>
        <w:t>неблагоприятная реакция, вызванная хирургическим и терапевтическим вмешательством (Т88.9);</w:t>
      </w:r>
    </w:p>
    <w:p w:rsidR="00000000" w:rsidRDefault="00A63385">
      <w:pPr>
        <w:pStyle w:val="pj"/>
      </w:pPr>
      <w:r>
        <w:rPr>
          <w:rStyle w:val="s0"/>
        </w:rPr>
        <w:t>обращения за медицинской помощью по поводу неосложненных послеопе</w:t>
      </w:r>
      <w:r>
        <w:rPr>
          <w:rStyle w:val="s0"/>
        </w:rPr>
        <w:t>рационных состояний (Z43, Z 44, Z93);</w:t>
      </w:r>
    </w:p>
    <w:p w:rsidR="00000000" w:rsidRDefault="00A63385">
      <w:pPr>
        <w:pStyle w:val="pj"/>
      </w:pPr>
      <w:r>
        <w:rPr>
          <w:rStyle w:val="s0"/>
        </w:rPr>
        <w:t>осложнения хирургических процедур во время беременности, родов и в послеродовом периоде (О00-О99);</w:t>
      </w:r>
    </w:p>
    <w:p w:rsidR="00000000" w:rsidRDefault="00A63385">
      <w:pPr>
        <w:pStyle w:val="pj"/>
      </w:pPr>
      <w:r>
        <w:rPr>
          <w:rStyle w:val="s0"/>
        </w:rPr>
        <w:t>осложнения, связанные с инфузией, трансфузией и лечебной инъекцией (Т80);</w:t>
      </w:r>
    </w:p>
    <w:p w:rsidR="00000000" w:rsidRDefault="00A63385">
      <w:pPr>
        <w:pStyle w:val="pj"/>
      </w:pPr>
      <w:r>
        <w:rPr>
          <w:rStyle w:val="s0"/>
        </w:rPr>
        <w:t>осложнения, обусловленные ортопедическими уст</w:t>
      </w:r>
      <w:r>
        <w:rPr>
          <w:rStyle w:val="s0"/>
        </w:rPr>
        <w:t>ройствами, имплантатами и трансплантатами (Т82-85);</w:t>
      </w:r>
    </w:p>
    <w:p w:rsidR="00000000" w:rsidRDefault="00A63385">
      <w:pPr>
        <w:pStyle w:val="pj"/>
      </w:pPr>
      <w:r>
        <w:rPr>
          <w:rStyle w:val="s0"/>
        </w:rPr>
        <w:t>дерматит, обусловленный лекарственными средствами и медикаментами (L23.3, L24.4, L25.1, L27.0-027.1);</w:t>
      </w:r>
    </w:p>
    <w:p w:rsidR="00000000" w:rsidRDefault="00A63385">
      <w:pPr>
        <w:pStyle w:val="pj"/>
      </w:pPr>
      <w:r>
        <w:rPr>
          <w:rStyle w:val="s0"/>
        </w:rPr>
        <w:t>отказ и отторжение пересаженных органов и тканей (Т86)</w:t>
      </w:r>
    </w:p>
    <w:p w:rsidR="00000000" w:rsidRDefault="00A63385">
      <w:pPr>
        <w:pStyle w:val="pj"/>
      </w:pPr>
      <w:r>
        <w:rPr>
          <w:rStyle w:val="s0"/>
        </w:rPr>
        <w:t>отравление и токсическое действие лекарственных</w:t>
      </w:r>
      <w:r>
        <w:rPr>
          <w:rStyle w:val="s0"/>
        </w:rPr>
        <w:t xml:space="preserve"> средств и химических веществ (T36-T65);</w:t>
      </w:r>
    </w:p>
    <w:p w:rsidR="00000000" w:rsidRDefault="00A63385">
      <w:pPr>
        <w:pStyle w:val="pj"/>
      </w:pPr>
      <w:r>
        <w:rPr>
          <w:rStyle w:val="s0"/>
        </w:rPr>
        <w:t>осложнения, связанные с сердечными и сосудистыми устройствами, имплантатами и трансплантатами (Т82);</w:t>
      </w:r>
    </w:p>
    <w:p w:rsidR="00000000" w:rsidRDefault="00A63385">
      <w:pPr>
        <w:pStyle w:val="pj"/>
      </w:pPr>
      <w:r>
        <w:rPr>
          <w:rStyle w:val="s0"/>
        </w:rPr>
        <w:t>осложнения, связанные с мочеполовыми протезными устройствами, имплантатами и трансплантатами отмирание и отторжени</w:t>
      </w:r>
      <w:r>
        <w:rPr>
          <w:rStyle w:val="s0"/>
        </w:rPr>
        <w:t>е пересаженных органов и тканей (Т83);</w:t>
      </w:r>
    </w:p>
    <w:p w:rsidR="00000000" w:rsidRDefault="00A63385">
      <w:pPr>
        <w:pStyle w:val="pj"/>
      </w:pPr>
      <w:r>
        <w:rPr>
          <w:rStyle w:val="s0"/>
        </w:rPr>
        <w:t>осложнения, связанные с внутренними ортопедическими протезными устройствами, имплантатами и трансплантатами (Т84);</w:t>
      </w:r>
    </w:p>
    <w:p w:rsidR="00000000" w:rsidRDefault="00A63385">
      <w:pPr>
        <w:pStyle w:val="pj"/>
      </w:pPr>
      <w:r>
        <w:rPr>
          <w:rStyle w:val="s0"/>
        </w:rPr>
        <w:t>отмирание и отторжение пересаженных органов и тканей (Т86);</w:t>
      </w:r>
    </w:p>
    <w:p w:rsidR="00000000" w:rsidRDefault="00A63385">
      <w:pPr>
        <w:pStyle w:val="pj"/>
      </w:pPr>
      <w:r>
        <w:rPr>
          <w:rStyle w:val="s0"/>
        </w:rPr>
        <w:t>перелом кости, связанный с введением ортоп</w:t>
      </w:r>
      <w:r>
        <w:rPr>
          <w:rStyle w:val="s0"/>
        </w:rPr>
        <w:t>едического имплантата, суставного протеза или костной пластины (М96.6);</w:t>
      </w:r>
    </w:p>
    <w:p w:rsidR="00000000" w:rsidRDefault="00A63385">
      <w:pPr>
        <w:pStyle w:val="pj"/>
      </w:pPr>
      <w:r>
        <w:rPr>
          <w:rStyle w:val="s0"/>
        </w:rPr>
        <w:t>несовместимость между пациентом и лекарственным средством;</w:t>
      </w:r>
    </w:p>
    <w:p w:rsidR="00000000" w:rsidRDefault="00A63385">
      <w:pPr>
        <w:pStyle w:val="pj"/>
      </w:pPr>
      <w:r>
        <w:rPr>
          <w:rStyle w:val="s0"/>
        </w:rPr>
        <w:t>несовместимость между пациентом и медицинским изделием;</w:t>
      </w:r>
    </w:p>
    <w:p w:rsidR="00000000" w:rsidRDefault="00A63385">
      <w:pPr>
        <w:pStyle w:val="pj"/>
      </w:pPr>
      <w:r>
        <w:rPr>
          <w:rStyle w:val="s0"/>
        </w:rPr>
        <w:t>без идентифицированного медицинского изделия или проблем с его исполь</w:t>
      </w:r>
      <w:r>
        <w:rPr>
          <w:rStyle w:val="s0"/>
        </w:rPr>
        <w:t>зованием;</w:t>
      </w:r>
    </w:p>
    <w:p w:rsidR="00000000" w:rsidRDefault="00A63385">
      <w:pPr>
        <w:pStyle w:val="pj"/>
      </w:pPr>
      <w:r>
        <w:rPr>
          <w:rStyle w:val="s0"/>
        </w:rPr>
        <w:t>проблема подачи или забора жидкости или газа при использований медицинского изделия;</w:t>
      </w:r>
    </w:p>
    <w:p w:rsidR="00000000" w:rsidRDefault="00A63385">
      <w:pPr>
        <w:pStyle w:val="pj"/>
      </w:pPr>
      <w:r>
        <w:rPr>
          <w:rStyle w:val="s0"/>
        </w:rPr>
        <w:t>непредвиденное механическое воздействие медицинского изделия на пациента.</w:t>
      </w:r>
    </w:p>
    <w:p w:rsidR="00000000" w:rsidRDefault="00A63385">
      <w:pPr>
        <w:pStyle w:val="pj"/>
      </w:pPr>
      <w:r>
        <w:rPr>
          <w:rStyle w:val="s0"/>
        </w:rPr>
        <w:t>4. Медицинские инциденты по кодам Международной классификации болезней 10-го пересмотра (далее - МКБ-10) согласно пункта 3 настоящих Правил, определяются при проведении самооценки в рамках внутренней экспертизы качества медицинских услуг, лицами, указанным</w:t>
      </w:r>
      <w:r>
        <w:rPr>
          <w:rStyle w:val="s0"/>
        </w:rPr>
        <w:t>и в пункте 5 настоящих Правил.</w:t>
      </w:r>
    </w:p>
    <w:p w:rsidR="00000000" w:rsidRDefault="00A63385">
      <w:pPr>
        <w:pStyle w:val="pj"/>
      </w:pPr>
      <w:r>
        <w:rPr>
          <w:rStyle w:val="s0"/>
        </w:rPr>
        <w:t>Самооценка проводится один раз в месяц путем анализа пролеченных случаев в соответствии с графиком, формируемым медицинской организацией самостоятельно.</w:t>
      </w:r>
    </w:p>
    <w:p w:rsidR="00000000" w:rsidRDefault="00A63385">
      <w:pPr>
        <w:pStyle w:val="pj"/>
      </w:pPr>
      <w:r>
        <w:rPr>
          <w:rStyle w:val="s0"/>
        </w:rPr>
        <w:t>5. Медицинский работник (средний медицинский работник, врач, руководител</w:t>
      </w:r>
      <w:r>
        <w:rPr>
          <w:rStyle w:val="s0"/>
        </w:rPr>
        <w:t>ь структурного подразделения) при определении медицинского инцидента, направляет информацию в Службу в течение суток с момента выявления с указанием обстоятельств и причин.</w:t>
      </w:r>
    </w:p>
    <w:p w:rsidR="00000000" w:rsidRDefault="00A63385">
      <w:pPr>
        <w:pStyle w:val="pj"/>
      </w:pPr>
      <w:r>
        <w:rPr>
          <w:rStyle w:val="s0"/>
        </w:rPr>
        <w:t>За своевременное выявление и информирование о медицинском инциденте, руководитель м</w:t>
      </w:r>
      <w:r>
        <w:rPr>
          <w:rStyle w:val="s0"/>
        </w:rPr>
        <w:t>едицинской организации с учетом имеющихся возможностей устанавливает дополнительное материальное стимулирование медицинских работников.</w:t>
      </w:r>
    </w:p>
    <w:p w:rsidR="00000000" w:rsidRDefault="00A63385">
      <w:pPr>
        <w:pStyle w:val="pj"/>
      </w:pPr>
      <w:r>
        <w:rPr>
          <w:rStyle w:val="s0"/>
        </w:rPr>
        <w:t>6. Служба, в течение 5 (пяти) рабочих дней формирует справку (сводную информацию) о медицинском инциденте.</w:t>
      </w:r>
    </w:p>
    <w:p w:rsidR="00000000" w:rsidRDefault="00A63385">
      <w:pPr>
        <w:pStyle w:val="pj"/>
      </w:pPr>
      <w:r>
        <w:rPr>
          <w:rStyle w:val="s0"/>
        </w:rPr>
        <w:t>После одобрен</w:t>
      </w:r>
      <w:r>
        <w:rPr>
          <w:rStyle w:val="s0"/>
        </w:rPr>
        <w:t>ия руководителем медицинской организации справки (сводной информации), Служба в течение 3 (трех) рабочих дней направляет информацию о медицинском инциденте в организацию подведомственную уполномоченному органу в области здравоохранения (далее - организация</w:t>
      </w:r>
      <w:r>
        <w:rPr>
          <w:rStyle w:val="s0"/>
        </w:rPr>
        <w:t>).</w:t>
      </w:r>
    </w:p>
    <w:p w:rsidR="00000000" w:rsidRDefault="00A63385">
      <w:pPr>
        <w:pStyle w:val="pj"/>
      </w:pPr>
      <w:r>
        <w:rPr>
          <w:rStyle w:val="s0"/>
        </w:rPr>
        <w:t>7. Организация проводит учет медицинских инцидентов на основе информации представленной медицинскими организациями, а также государственных органов в сферах оказания медицинских услуг (помощи), санитарно-эпидемиологического благополучия населения, обращ</w:t>
      </w:r>
      <w:r>
        <w:rPr>
          <w:rStyle w:val="s0"/>
        </w:rPr>
        <w:t>ения лекарственных средств и медицинских изделий либо их территориальными подразделениями, определивших медицинский инцидент при проведении государственного контроля.</w:t>
      </w:r>
    </w:p>
    <w:p w:rsidR="00000000" w:rsidRDefault="00A63385">
      <w:pPr>
        <w:pStyle w:val="pj"/>
      </w:pPr>
      <w:r>
        <w:rPr>
          <w:rStyle w:val="s0"/>
        </w:rPr>
        <w:t xml:space="preserve">8. При учете медицинских инцидентов указываются события, причины медицинского инцидента, </w:t>
      </w:r>
      <w:r>
        <w:rPr>
          <w:rStyle w:val="s0"/>
        </w:rPr>
        <w:t>краткое описание случаев, в том числе анамнеза (жизни, заболевания) пациента; наименование медицинской организации не указывается.</w:t>
      </w:r>
    </w:p>
    <w:p w:rsidR="00000000" w:rsidRDefault="00A63385">
      <w:pPr>
        <w:pStyle w:val="pj"/>
      </w:pPr>
      <w:r>
        <w:rPr>
          <w:rStyle w:val="s0"/>
        </w:rPr>
        <w:t>9. Анализ фактов наступления медицинского инцидента осуществляется посредством внутреннего аудита медицинской организации, ме</w:t>
      </w:r>
      <w:r>
        <w:rPr>
          <w:rStyle w:val="s0"/>
        </w:rPr>
        <w:t>стными органами государственного управления здравоохранением областей, городов республиканского значения и столицы, государственными органами, осуществляющими государственный контроль в сферах оказания медицинских услуг (помощи), санитарно-эпидемиологическ</w:t>
      </w:r>
      <w:r>
        <w:rPr>
          <w:rStyle w:val="s0"/>
        </w:rPr>
        <w:t>ого благополучия населения, обращения лекарственных средств и медицинских изделий, а также уполномоченным органом.</w:t>
      </w:r>
    </w:p>
    <w:p w:rsidR="00000000" w:rsidRDefault="00A63385">
      <w:pPr>
        <w:pStyle w:val="pj"/>
      </w:pPr>
      <w:r>
        <w:rPr>
          <w:rStyle w:val="s0"/>
        </w:rPr>
        <w:t>10. По результатам анализа медицинского инцидента вырабатываются меры по устранению и предотвращению повторных случаев медицинского инцидента</w:t>
      </w:r>
      <w:r>
        <w:rPr>
          <w:rStyle w:val="s0"/>
        </w:rPr>
        <w:t xml:space="preserve"> при оказании медицинских услуг, а также актуализируются правовые акты в области здравоохранения.</w:t>
      </w:r>
    </w:p>
    <w:p w:rsidR="00000000" w:rsidRDefault="00A63385">
      <w:pPr>
        <w:pStyle w:val="pj"/>
      </w:pPr>
      <w:r>
        <w:rPr>
          <w:rStyle w:val="s0"/>
        </w:rPr>
        <w:t> </w:t>
      </w:r>
    </w:p>
    <w:p w:rsidR="00000000" w:rsidRDefault="00A63385">
      <w:pPr>
        <w:pStyle w:val="pj"/>
      </w:pPr>
      <w:r>
        <w:rPr>
          <w:rStyle w:val="s0"/>
        </w:rPr>
        <w:t> </w:t>
      </w:r>
    </w:p>
    <w:p w:rsidR="00000000" w:rsidRDefault="00A63385">
      <w:pPr>
        <w:pStyle w:val="pj"/>
      </w:pPr>
      <w:r>
        <w:rPr>
          <w:rStyle w:val="s0"/>
        </w:rPr>
        <w:t> </w:t>
      </w:r>
    </w:p>
    <w:p w:rsidR="00000000" w:rsidRDefault="00A63385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85" w:rsidRDefault="00A63385" w:rsidP="00A63385">
      <w:r>
        <w:separator/>
      </w:r>
    </w:p>
  </w:endnote>
  <w:endnote w:type="continuationSeparator" w:id="0">
    <w:p w:rsidR="00A63385" w:rsidRDefault="00A63385" w:rsidP="00A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85" w:rsidRDefault="00A63385" w:rsidP="00A63385">
      <w:r>
        <w:separator/>
      </w:r>
    </w:p>
  </w:footnote>
  <w:footnote w:type="continuationSeparator" w:id="0">
    <w:p w:rsidR="00A63385" w:rsidRDefault="00A63385" w:rsidP="00A6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 w:rsidP="00A633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63385" w:rsidRDefault="00A63385" w:rsidP="00A633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26 июня 2024 года № 31 «О внесении изменений в приказ 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 (не введен в действие)</w:t>
    </w:r>
  </w:p>
  <w:p w:rsidR="00A63385" w:rsidRPr="00A63385" w:rsidRDefault="00A63385" w:rsidP="00A6338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5" w:rsidRDefault="00A633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3385"/>
    <w:rsid w:val="00A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63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38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38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63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38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38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5369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53690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2247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24707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8497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26 июня 2024 года № 31 «О внесении изменений в приказ 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2024-07-02T08:42:00Z</dcterms:created>
  <dcterms:modified xsi:type="dcterms:W3CDTF">2024-07-02T08:42:00Z</dcterms:modified>
</cp:coreProperties>
</file>